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4" w:rsidRPr="00EA42E0" w:rsidRDefault="009543B4" w:rsidP="009543B4">
      <w:r w:rsidRPr="00EA42E0">
        <w:t>Lektury egzaminacyjne dla studentów I roku studiów dziennych Historii</w:t>
      </w:r>
    </w:p>
    <w:p w:rsidR="009543B4" w:rsidRPr="00EA42E0" w:rsidRDefault="009543B4" w:rsidP="009543B4">
      <w:r w:rsidRPr="00EA42E0">
        <w:t>w roku akademickim 2022/2023</w:t>
      </w:r>
    </w:p>
    <w:p w:rsidR="009543B4" w:rsidRPr="00EA42E0" w:rsidRDefault="009543B4" w:rsidP="009543B4">
      <w:pPr>
        <w:rPr>
          <w:b/>
          <w:bCs/>
        </w:rPr>
      </w:pPr>
    </w:p>
    <w:p w:rsidR="009543B4" w:rsidRPr="00EA42E0" w:rsidRDefault="009543B4" w:rsidP="009543B4">
      <w:pPr>
        <w:rPr>
          <w:b/>
          <w:bCs/>
        </w:rPr>
      </w:pPr>
    </w:p>
    <w:p w:rsidR="000F1C69" w:rsidRPr="00EA42E0" w:rsidRDefault="000F1C69" w:rsidP="000F1C69">
      <w:pPr>
        <w:pStyle w:val="NormalnyWeb"/>
        <w:spacing w:before="0" w:beforeAutospacing="0" w:after="0" w:afterAutospacing="0"/>
        <w:rPr>
          <w:b/>
          <w:bCs/>
        </w:rPr>
      </w:pPr>
      <w:r w:rsidRPr="00EA42E0">
        <w:rPr>
          <w:b/>
          <w:bCs/>
        </w:rPr>
        <w:t>Dr hab. Łukasz N</w:t>
      </w:r>
      <w:r>
        <w:rPr>
          <w:b/>
          <w:bCs/>
        </w:rPr>
        <w:t xml:space="preserve">IESIOŁOWSKI-SPANO, </w:t>
      </w:r>
      <w:r w:rsidRPr="00EA42E0">
        <w:rPr>
          <w:b/>
          <w:bCs/>
        </w:rPr>
        <w:t>prof. UW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Egzamin składać się będzie z trzech części, co znalazło swój wyraz w zamieszczonych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poniżej lekturach; są to zatem: Starożytny Wschód, Grecja i Rzym. Z części wschodniej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zwolnieni są oczywiście wszyscy Państwo, którzy pomyślnie zdali egzamin u prof. Marka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Stępnia.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Wszystkich zdających obowiązuje poza znajomością faktografii (wiedza na podstawie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zaproponowanych podręczników) oraz tekstów źródłowych, swobodne posługiwanie się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mapą, w zakresie obejmującym Atlas Historii Starożytnej (pod red. L. Piotrowicza).</w:t>
      </w:r>
    </w:p>
    <w:p w:rsidR="000F1C69" w:rsidRDefault="000F1C69" w:rsidP="000F1C69">
      <w:pPr>
        <w:pStyle w:val="NormalnyWeb"/>
        <w:spacing w:before="0" w:beforeAutospacing="0" w:after="0" w:afterAutospacing="0"/>
      </w:pP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Syntezy: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A. Wschód starożytny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A. ZIÓŁKOWSKI, </w:t>
      </w:r>
      <w:r w:rsidRPr="00EA42E0">
        <w:rPr>
          <w:i/>
          <w:iCs/>
        </w:rPr>
        <w:t>Historia Powszechna. Starożytność</w:t>
      </w:r>
      <w:r w:rsidRPr="00EA42E0">
        <w:t>, Warszawa 2009 (odpowiednie części)</w:t>
      </w:r>
    </w:p>
    <w:p w:rsidR="000F1C69" w:rsidRDefault="000F1C69" w:rsidP="000F1C69">
      <w:pPr>
        <w:pStyle w:val="NormalnyWeb"/>
        <w:spacing w:before="0" w:beforeAutospacing="0" w:after="0" w:afterAutospacing="0"/>
      </w:pPr>
      <w:r w:rsidRPr="00EA42E0">
        <w:t>B. Grecja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B. BRAVO, E. WIPSZYCKA, </w:t>
      </w:r>
      <w:r w:rsidRPr="00EA42E0">
        <w:rPr>
          <w:i/>
          <w:iCs/>
        </w:rPr>
        <w:t>Historia starożytnych Greków</w:t>
      </w:r>
      <w:r w:rsidRPr="00EA42E0">
        <w:t>, t. I, Warszawa 1988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B. BRAVO, M. WĘCOWSKI, E. WIPSZYCKA, A. WOLICKI, </w:t>
      </w:r>
      <w:r w:rsidRPr="00EA42E0">
        <w:rPr>
          <w:i/>
          <w:iCs/>
        </w:rPr>
        <w:t>Historia starożytnych Greków</w:t>
      </w:r>
      <w:r w:rsidRPr="00EA42E0">
        <w:t>, t. II,</w:t>
      </w:r>
      <w:r>
        <w:t xml:space="preserve"> </w:t>
      </w:r>
      <w:r w:rsidRPr="00EA42E0">
        <w:t>Warszawa 2009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F.W. WALBANK, </w:t>
      </w:r>
      <w:r w:rsidRPr="00EA42E0">
        <w:rPr>
          <w:i/>
          <w:iCs/>
        </w:rPr>
        <w:t>Świat Hellenistyczny</w:t>
      </w:r>
      <w:r w:rsidRPr="00EA42E0">
        <w:t>, Warszawa 2003</w:t>
      </w:r>
    </w:p>
    <w:p w:rsidR="000F1C69" w:rsidRDefault="000F1C69" w:rsidP="000F1C69">
      <w:pPr>
        <w:pStyle w:val="NormalnyWeb"/>
        <w:spacing w:before="0" w:beforeAutospacing="0" w:after="0" w:afterAutospacing="0"/>
      </w:pP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C. Rzym</w:t>
      </w:r>
    </w:p>
    <w:p w:rsidR="000F1C69" w:rsidRDefault="000F1C69" w:rsidP="000F1C69">
      <w:pPr>
        <w:pStyle w:val="NormalnyWeb"/>
        <w:spacing w:before="0" w:beforeAutospacing="0" w:after="0" w:afterAutospacing="0"/>
      </w:pPr>
      <w:r w:rsidRPr="00EA42E0">
        <w:t xml:space="preserve">A. ZIÓŁKOWSKI, </w:t>
      </w:r>
      <w:r w:rsidRPr="00EA42E0">
        <w:rPr>
          <w:i/>
          <w:iCs/>
        </w:rPr>
        <w:t>Historia Powszechna. Starożytność</w:t>
      </w:r>
      <w:r w:rsidRPr="00EA42E0">
        <w:t>, Warszawa 2009 (odpowiednie części)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</w:p>
    <w:p w:rsidR="000F1C69" w:rsidRPr="00EA42E0" w:rsidRDefault="000F1C69" w:rsidP="000F1C69">
      <w:pPr>
        <w:pStyle w:val="NormalnyWeb"/>
        <w:spacing w:before="0" w:beforeAutospacing="0" w:after="0" w:afterAutospacing="0"/>
        <w:rPr>
          <w:b/>
          <w:bCs/>
        </w:rPr>
      </w:pPr>
      <w:r w:rsidRPr="00EA42E0">
        <w:rPr>
          <w:b/>
          <w:bCs/>
        </w:rPr>
        <w:t>Monografie – jedna do wyboru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P. </w:t>
      </w:r>
      <w:proofErr w:type="spellStart"/>
      <w:r w:rsidRPr="00EA42E0">
        <w:t>Berdowski</w:t>
      </w:r>
      <w:proofErr w:type="spellEnd"/>
      <w:r w:rsidRPr="00EA42E0">
        <w:t xml:space="preserve">, </w:t>
      </w:r>
      <w:r w:rsidRPr="00EA42E0">
        <w:rPr>
          <w:i/>
          <w:iCs/>
        </w:rPr>
        <w:t xml:space="preserve">Res </w:t>
      </w:r>
      <w:proofErr w:type="spellStart"/>
      <w:r w:rsidRPr="00EA42E0">
        <w:rPr>
          <w:i/>
          <w:iCs/>
        </w:rPr>
        <w:t>gestae</w:t>
      </w:r>
      <w:proofErr w:type="spellEnd"/>
      <w:r w:rsidRPr="00EA42E0">
        <w:rPr>
          <w:i/>
          <w:iCs/>
        </w:rPr>
        <w:t xml:space="preserve"> </w:t>
      </w:r>
      <w:proofErr w:type="spellStart"/>
      <w:r w:rsidRPr="00EA42E0">
        <w:rPr>
          <w:i/>
          <w:iCs/>
        </w:rPr>
        <w:t>Neptuni</w:t>
      </w:r>
      <w:proofErr w:type="spellEnd"/>
      <w:r w:rsidRPr="00EA42E0">
        <w:rPr>
          <w:i/>
          <w:iCs/>
        </w:rPr>
        <w:t xml:space="preserve"> filii. Sextus </w:t>
      </w:r>
      <w:proofErr w:type="spellStart"/>
      <w:r w:rsidRPr="00EA42E0">
        <w:rPr>
          <w:i/>
          <w:iCs/>
        </w:rPr>
        <w:t>Pompeius</w:t>
      </w:r>
      <w:proofErr w:type="spellEnd"/>
      <w:r w:rsidRPr="00EA42E0">
        <w:rPr>
          <w:i/>
          <w:iCs/>
        </w:rPr>
        <w:t xml:space="preserve"> i rzymskie wojny domowe</w:t>
      </w:r>
      <w:r w:rsidRPr="00EA42E0">
        <w:t>, Rzeszów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2013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W. </w:t>
      </w:r>
      <w:proofErr w:type="spellStart"/>
      <w:r w:rsidRPr="00EA42E0">
        <w:t>Burkert</w:t>
      </w:r>
      <w:proofErr w:type="spellEnd"/>
      <w:r w:rsidRPr="00EA42E0">
        <w:t xml:space="preserve">, </w:t>
      </w:r>
      <w:r w:rsidRPr="00EA42E0">
        <w:rPr>
          <w:i/>
          <w:iCs/>
        </w:rPr>
        <w:t>Starożytne kulty misteryjne</w:t>
      </w:r>
      <w:r w:rsidRPr="00EA42E0">
        <w:t>, Bydgoszcz 2001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K. </w:t>
      </w:r>
      <w:proofErr w:type="spellStart"/>
      <w:r w:rsidRPr="00EA42E0">
        <w:t>Kęciek</w:t>
      </w:r>
      <w:proofErr w:type="spellEnd"/>
      <w:r w:rsidRPr="00EA42E0">
        <w:t xml:space="preserve">, </w:t>
      </w:r>
      <w:r w:rsidRPr="00EA42E0">
        <w:rPr>
          <w:i/>
          <w:iCs/>
        </w:rPr>
        <w:t>Dzieje Kartagińczyków. Historia nie zawsze ortodoksyjna</w:t>
      </w:r>
      <w:r w:rsidRPr="00EA42E0">
        <w:t>, Warszawa 2003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K. </w:t>
      </w:r>
      <w:proofErr w:type="spellStart"/>
      <w:r w:rsidRPr="00EA42E0">
        <w:t>Kumaniecki</w:t>
      </w:r>
      <w:proofErr w:type="spellEnd"/>
      <w:r w:rsidRPr="00EA42E0">
        <w:t>, </w:t>
      </w:r>
      <w:r w:rsidRPr="00EA42E0">
        <w:rPr>
          <w:i/>
          <w:iCs/>
        </w:rPr>
        <w:t>Cyceron i jego współcześni</w:t>
      </w:r>
      <w:r w:rsidRPr="00EA42E0">
        <w:t>, Warszawa 1989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W. </w:t>
      </w:r>
      <w:proofErr w:type="spellStart"/>
      <w:r w:rsidRPr="00EA42E0">
        <w:t>Lengauer</w:t>
      </w:r>
      <w:proofErr w:type="spellEnd"/>
      <w:r w:rsidRPr="00EA42E0">
        <w:t>, </w:t>
      </w:r>
      <w:r w:rsidRPr="00EA42E0">
        <w:rPr>
          <w:i/>
          <w:iCs/>
        </w:rPr>
        <w:t>Religijność starożytnych Greków</w:t>
      </w:r>
      <w:r w:rsidRPr="00EA42E0">
        <w:t>, Warszawa 1994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K. Stebnicka, </w:t>
      </w:r>
      <w:r w:rsidRPr="00EA42E0">
        <w:rPr>
          <w:i/>
          <w:iCs/>
        </w:rPr>
        <w:t>Tożsamość diaspory. Żydzi w Azji Mniejszej okresu cesarstwa</w:t>
      </w:r>
      <w:r w:rsidRPr="00EA42E0">
        <w:t>, Warszawa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2012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M. Węcowski, </w:t>
      </w:r>
      <w:r w:rsidRPr="00EA42E0">
        <w:rPr>
          <w:i/>
          <w:iCs/>
        </w:rPr>
        <w:t>Sympozjon czyli wspólne picie. Początki greckiej biesiady arystokratycznej</w:t>
      </w:r>
      <w:r w:rsidRPr="00EA42E0">
        <w:t>,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Warszawa 2011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 xml:space="preserve">E. </w:t>
      </w:r>
      <w:proofErr w:type="spellStart"/>
      <w:r w:rsidRPr="00EA42E0">
        <w:t>Wipszycka</w:t>
      </w:r>
      <w:proofErr w:type="spellEnd"/>
      <w:r w:rsidRPr="00EA42E0">
        <w:t xml:space="preserve">, </w:t>
      </w:r>
      <w:r w:rsidRPr="00EA42E0">
        <w:rPr>
          <w:i/>
          <w:iCs/>
        </w:rPr>
        <w:t xml:space="preserve">Drugi dar Nilu, czyli o mnichach i klasztorach w </w:t>
      </w:r>
      <w:proofErr w:type="spellStart"/>
      <w:r w:rsidRPr="00EA42E0">
        <w:rPr>
          <w:i/>
          <w:iCs/>
        </w:rPr>
        <w:t>późnoantycznym</w:t>
      </w:r>
      <w:proofErr w:type="spellEnd"/>
      <w:r w:rsidRPr="00EA42E0">
        <w:rPr>
          <w:i/>
          <w:iCs/>
        </w:rPr>
        <w:t xml:space="preserve"> Egipcie</w:t>
      </w:r>
      <w:r w:rsidRPr="00EA42E0">
        <w:t>,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t>Tyniec 2014</w:t>
      </w:r>
    </w:p>
    <w:p w:rsidR="000F1C69" w:rsidRPr="00EA42E0" w:rsidRDefault="000F1C69" w:rsidP="000F1C69">
      <w:pPr>
        <w:pStyle w:val="NormalnyWeb"/>
        <w:spacing w:before="0" w:beforeAutospacing="0" w:after="0" w:afterAutospacing="0"/>
        <w:rPr>
          <w:i/>
          <w:iCs/>
        </w:rPr>
      </w:pPr>
      <w:r w:rsidRPr="00EA42E0">
        <w:t xml:space="preserve">R. Wiśniewski, </w:t>
      </w:r>
      <w:r w:rsidRPr="00EA42E0">
        <w:rPr>
          <w:i/>
          <w:iCs/>
        </w:rPr>
        <w:t>Szatan i jego słudzy. Rola diabła w łacińskiej literaturze hagiograficznej IV-V</w:t>
      </w:r>
    </w:p>
    <w:p w:rsidR="000F1C69" w:rsidRPr="00EA42E0" w:rsidRDefault="000F1C69" w:rsidP="000F1C69">
      <w:pPr>
        <w:pStyle w:val="NormalnyWeb"/>
        <w:spacing w:before="0" w:beforeAutospacing="0" w:after="0" w:afterAutospacing="0"/>
      </w:pPr>
      <w:r w:rsidRPr="00EA42E0">
        <w:rPr>
          <w:i/>
          <w:iCs/>
        </w:rPr>
        <w:t>wieku</w:t>
      </w:r>
      <w:r w:rsidRPr="00EA42E0">
        <w:t>, Kraków 2004</w:t>
      </w:r>
    </w:p>
    <w:p w:rsidR="000F1C69" w:rsidRPr="00EA42E0" w:rsidRDefault="000F1C69" w:rsidP="000F1C69">
      <w:pPr>
        <w:pStyle w:val="NormalnyWeb"/>
        <w:spacing w:before="0" w:beforeAutospacing="0" w:after="0" w:afterAutospacing="0"/>
        <w:jc w:val="both"/>
      </w:pPr>
      <w:r w:rsidRPr="00EA42E0">
        <w:t xml:space="preserve">P. </w:t>
      </w:r>
      <w:proofErr w:type="spellStart"/>
      <w:r w:rsidRPr="00EA42E0">
        <w:t>Zanker</w:t>
      </w:r>
      <w:proofErr w:type="spellEnd"/>
      <w:r w:rsidRPr="00EA42E0">
        <w:t xml:space="preserve">, </w:t>
      </w:r>
      <w:r w:rsidRPr="00EA42E0">
        <w:rPr>
          <w:i/>
          <w:iCs/>
        </w:rPr>
        <w:t>August i potęga obrazów</w:t>
      </w:r>
      <w:r w:rsidRPr="00EA42E0">
        <w:t>, Poznań 1999</w:t>
      </w:r>
    </w:p>
    <w:p w:rsidR="00196CD4" w:rsidRDefault="00196CD4" w:rsidP="000F1C69">
      <w:bookmarkStart w:id="0" w:name="_GoBack"/>
      <w:bookmarkEnd w:id="0"/>
    </w:p>
    <w:sectPr w:rsidR="0019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D7A"/>
    <w:multiLevelType w:val="hybridMultilevel"/>
    <w:tmpl w:val="61880224"/>
    <w:lvl w:ilvl="0" w:tplc="7DF6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4"/>
    <w:rsid w:val="0002034C"/>
    <w:rsid w:val="000F1C69"/>
    <w:rsid w:val="001955F4"/>
    <w:rsid w:val="00196CD4"/>
    <w:rsid w:val="001C7F31"/>
    <w:rsid w:val="007E2A57"/>
    <w:rsid w:val="009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9BC-2F10-4EF5-857A-B7649D6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  <w:style w:type="character" w:styleId="Uwydatnienie">
    <w:name w:val="Emphasis"/>
    <w:basedOn w:val="Domylnaczcionkaakapitu"/>
    <w:uiPriority w:val="20"/>
    <w:qFormat/>
    <w:rsid w:val="007E2A57"/>
    <w:rPr>
      <w:i/>
      <w:iCs/>
    </w:rPr>
  </w:style>
  <w:style w:type="character" w:styleId="Pogrubienie">
    <w:name w:val="Strong"/>
    <w:basedOn w:val="Domylnaczcionkaakapitu"/>
    <w:uiPriority w:val="22"/>
    <w:qFormat/>
    <w:rsid w:val="007E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2022-11-22T14:31:00Z</dcterms:created>
  <dcterms:modified xsi:type="dcterms:W3CDTF">2022-11-22T14:31:00Z</dcterms:modified>
</cp:coreProperties>
</file>