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120D" w14:textId="117D5721" w:rsidR="00AA0A19" w:rsidRDefault="00AA0A19" w:rsidP="00F67D72">
      <w:pPr>
        <w:pStyle w:val="NormalnyWeb"/>
        <w:widowControl w:val="0"/>
        <w:spacing w:before="0" w:beforeAutospacing="0" w:after="120" w:afterAutospacing="0" w:line="276" w:lineRule="auto"/>
        <w:jc w:val="both"/>
        <w:rPr>
          <w:b/>
          <w:bCs/>
        </w:rPr>
      </w:pPr>
      <w:r w:rsidRPr="00F67D72">
        <w:rPr>
          <w:b/>
          <w:bCs/>
        </w:rPr>
        <w:t>Rekomendacje w sprawie uznawalności mobilności pracowniczych w programie Erasmus+</w:t>
      </w:r>
      <w:r w:rsidR="00D41D1E">
        <w:rPr>
          <w:b/>
          <w:bCs/>
        </w:rPr>
        <w:t xml:space="preserve"> na Uniwersytecie Warszawskim</w:t>
      </w:r>
    </w:p>
    <w:p w14:paraId="10843C92" w14:textId="77777777" w:rsidR="00D41D1E" w:rsidRPr="00F67D72" w:rsidRDefault="00D41D1E" w:rsidP="00F67D72">
      <w:pPr>
        <w:pStyle w:val="NormalnyWeb"/>
        <w:widowControl w:val="0"/>
        <w:spacing w:before="0" w:beforeAutospacing="0" w:after="120" w:afterAutospacing="0" w:line="276" w:lineRule="auto"/>
        <w:jc w:val="both"/>
        <w:rPr>
          <w:b/>
          <w:bCs/>
        </w:rPr>
      </w:pPr>
    </w:p>
    <w:p w14:paraId="2F6095E8" w14:textId="77777777" w:rsidR="00B87ABA" w:rsidRPr="00F67D72" w:rsidRDefault="00B87ABA" w:rsidP="00F67D72">
      <w:pPr>
        <w:pStyle w:val="NormalnyWeb"/>
        <w:widowControl w:val="0"/>
        <w:spacing w:before="0" w:beforeAutospacing="0" w:after="120" w:afterAutospacing="0" w:line="276" w:lineRule="auto"/>
        <w:jc w:val="both"/>
      </w:pPr>
      <w:r w:rsidRPr="00F67D72">
        <w:t xml:space="preserve">Uniwersytet Warszawski od lat opracowuje i składa projekty </w:t>
      </w:r>
      <w:proofErr w:type="spellStart"/>
      <w:r w:rsidRPr="00F67D72">
        <w:t>mobilnościowe</w:t>
      </w:r>
      <w:proofErr w:type="spellEnd"/>
      <w:r w:rsidRPr="00F67D72">
        <w:t xml:space="preserve"> w programie Erasmus+, uzyskując największe dofinansowanie na mobilności studentów i pracowników w Polsce wśród uczelni posiadających uprawnienia Komisji Europejskiej (Erasmus Charter for </w:t>
      </w:r>
      <w:proofErr w:type="spellStart"/>
      <w:r w:rsidRPr="00F67D72">
        <w:t>Higher</w:t>
      </w:r>
      <w:proofErr w:type="spellEnd"/>
      <w:r w:rsidRPr="00F67D72">
        <w:t xml:space="preserve"> Education). W ocenie końcowej projektów, wystawianej przez Fundację Rozwoju Systemu Edukacji pełniącą rolę Narodowej Agencji Programu Erasmus+ i Europejskiego Korpusu Solidarności (NA), Uniwersytet uzyskuje bardzo dobrą punktację. W ostatnim podsumowaniu z grudnia 2024 r. wskazano, że „Działania, nie tylko w zakresie priorytetów obecnej edycji Erasmusa, ale całościowo w kontekście zaangażowania w jak najlepszą realizację Programu, mogą stanowić inspirację dla innych uczelni”.</w:t>
      </w:r>
    </w:p>
    <w:p w14:paraId="2763B9E1" w14:textId="77777777" w:rsidR="00B87ABA" w:rsidRPr="00F67D72" w:rsidRDefault="00B87ABA" w:rsidP="00F67D72">
      <w:pPr>
        <w:pStyle w:val="NormalnyWeb"/>
        <w:widowControl w:val="0"/>
        <w:spacing w:before="0" w:beforeAutospacing="0" w:after="120" w:afterAutospacing="0" w:line="276" w:lineRule="auto"/>
        <w:jc w:val="both"/>
      </w:pPr>
      <w:r w:rsidRPr="00F67D72">
        <w:t xml:space="preserve">Jednak każdorazowo Uniwersytetowi obniżana jest punktacja ze względu na wyniki procentowe odnotowane w zestawieniu odpowiedzi udzielonych przez uczestników w indywidualnych raportach, w tym przede wszystkim uznawalność wyjazdów pracowniczych. Zgodnie z danymi z ostatniego sprawozdania, tylko 57% członków wyjeżdżającej kadry czuje się usatysfakcjonowana z poziomu uznania. Dlatego, zgodnie z sugestią NA, Uniwersytet powinien opracować i wdrożyć szczegółowe zasady uznawalności mobilności pracowniczych w programie Erasmus+, które będą zgodne z wytycznymi karty Erasmus Charter for </w:t>
      </w:r>
      <w:proofErr w:type="spellStart"/>
      <w:r w:rsidRPr="00F67D72">
        <w:t>Higher</w:t>
      </w:r>
      <w:proofErr w:type="spellEnd"/>
      <w:r w:rsidRPr="00F67D72">
        <w:t xml:space="preserve"> Education (ECHE), przyjętą Uchwałą Senatu Uniwersytetu Warszawskiego nr 84 z dnia 2 lipca 2021 r. w sprawie Karty Erasmus dla Szkolnictwa Wyższego na lata 2021–2027. Proces uznawania doświadczeń zdobytych przez pracowników powinien być transparentny, z jasno określonymi kryteriami oceny oraz procedurami.</w:t>
      </w:r>
    </w:p>
    <w:p w14:paraId="37DEA2FD" w14:textId="20595F50" w:rsidR="00B87ABA" w:rsidRPr="00F67D72" w:rsidRDefault="00B87ABA" w:rsidP="00F67D72">
      <w:pPr>
        <w:pStyle w:val="NormalnyWeb"/>
        <w:widowControl w:val="0"/>
        <w:spacing w:before="0" w:beforeAutospacing="0" w:after="120" w:afterAutospacing="0" w:line="276" w:lineRule="auto"/>
        <w:jc w:val="both"/>
      </w:pPr>
      <w:r w:rsidRPr="00F67D72">
        <w:rPr>
          <w:rStyle w:val="Pogrubienie"/>
        </w:rPr>
        <w:t>Rekomendacje</w:t>
      </w:r>
      <w:r w:rsidR="00F67D72">
        <w:rPr>
          <w:rStyle w:val="Pogrubienie"/>
        </w:rPr>
        <w:t xml:space="preserve"> dla Kierowników Jednostek Dydaktycznych</w:t>
      </w:r>
      <w:r w:rsidRPr="00F67D72">
        <w:rPr>
          <w:rStyle w:val="Pogrubienie"/>
        </w:rPr>
        <w:t>:</w:t>
      </w:r>
    </w:p>
    <w:p w14:paraId="731F8ADD" w14:textId="1C0EECC9" w:rsidR="00B87ABA" w:rsidRPr="00F67D72" w:rsidRDefault="00F67D72" w:rsidP="00F67D72">
      <w:pPr>
        <w:pStyle w:val="NormalnyWeb"/>
        <w:widowControl w:val="0"/>
        <w:numPr>
          <w:ilvl w:val="0"/>
          <w:numId w:val="2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Z</w:t>
      </w:r>
      <w:r w:rsidR="00B87ABA" w:rsidRPr="00F67D72">
        <w:rPr>
          <w:b/>
          <w:bCs/>
        </w:rPr>
        <w:t>apewni</w:t>
      </w:r>
      <w:r w:rsidRPr="00F67D72">
        <w:rPr>
          <w:b/>
          <w:bCs/>
        </w:rPr>
        <w:t>enie</w:t>
      </w:r>
      <w:r w:rsidR="00B87ABA" w:rsidRPr="00F67D72">
        <w:rPr>
          <w:b/>
          <w:bCs/>
        </w:rPr>
        <w:t xml:space="preserve"> pracownikom</w:t>
      </w:r>
      <w:r w:rsidR="00B87ABA" w:rsidRPr="00F67D72">
        <w:t xml:space="preserve"> łatw</w:t>
      </w:r>
      <w:r>
        <w:t>ego</w:t>
      </w:r>
      <w:r w:rsidR="00B87ABA" w:rsidRPr="00F67D72">
        <w:t xml:space="preserve"> dostęp</w:t>
      </w:r>
      <w:r>
        <w:t>u</w:t>
      </w:r>
      <w:r w:rsidR="00B87ABA" w:rsidRPr="00F67D72">
        <w:t xml:space="preserve"> do informacji dotyczących uznawalności mobilności w danej jednostce. </w:t>
      </w:r>
      <w:r>
        <w:t>P</w:t>
      </w:r>
      <w:r w:rsidR="00B87ABA" w:rsidRPr="00F67D72">
        <w:t>rzekazywa</w:t>
      </w:r>
      <w:r>
        <w:t>nie</w:t>
      </w:r>
      <w:r w:rsidR="00B87ABA" w:rsidRPr="00F67D72">
        <w:t xml:space="preserve"> informacj</w:t>
      </w:r>
      <w:r>
        <w:t>i</w:t>
      </w:r>
      <w:r w:rsidR="00B87ABA" w:rsidRPr="00F67D72">
        <w:t xml:space="preserve"> o szkoleniach stanowiących wsparcie dla pracowników, którzy będą uczestniczyć w programie Erasmus+, np. szkolenia językowe</w:t>
      </w:r>
      <w:r w:rsidR="00685EC9" w:rsidRPr="00F67D72">
        <w:t xml:space="preserve"> lub wspierające komunikację w środowisku międzykulturowym</w:t>
      </w:r>
      <w:r w:rsidR="00B87ABA" w:rsidRPr="00F67D72">
        <w:t xml:space="preserve"> dostępne w ofercie ogólnej działu szkoleń.</w:t>
      </w:r>
    </w:p>
    <w:p w14:paraId="1C1F4104" w14:textId="6BB62816" w:rsidR="00B87ABA" w:rsidRPr="00F67D72" w:rsidRDefault="00F67D72" w:rsidP="00F67D72">
      <w:pPr>
        <w:pStyle w:val="NormalnyWeb"/>
        <w:widowControl w:val="0"/>
        <w:numPr>
          <w:ilvl w:val="0"/>
          <w:numId w:val="2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M</w:t>
      </w:r>
      <w:r w:rsidR="00B87ABA" w:rsidRPr="00F67D72">
        <w:rPr>
          <w:b/>
          <w:bCs/>
        </w:rPr>
        <w:t>onitorowa</w:t>
      </w:r>
      <w:r w:rsidRPr="00F67D72">
        <w:rPr>
          <w:b/>
          <w:bCs/>
        </w:rPr>
        <w:t>nie</w:t>
      </w:r>
      <w:r w:rsidR="00B87ABA" w:rsidRPr="00F67D72">
        <w:rPr>
          <w:b/>
          <w:bCs/>
        </w:rPr>
        <w:t xml:space="preserve"> proces</w:t>
      </w:r>
      <w:r w:rsidRPr="00F67D72">
        <w:rPr>
          <w:b/>
          <w:bCs/>
        </w:rPr>
        <w:t>u</w:t>
      </w:r>
      <w:r w:rsidR="00B87ABA" w:rsidRPr="00F67D72">
        <w:rPr>
          <w:b/>
          <w:bCs/>
        </w:rPr>
        <w:t xml:space="preserve"> mobilności pracowniczych</w:t>
      </w:r>
      <w:r w:rsidR="00B87ABA" w:rsidRPr="00F67D72">
        <w:t>, aby zapewnić zgodność z wymaganiami zawartymi w ECHE. Można przeprowadzać regularne ewaluacje mobilności, analizować wyniki oraz zbierać opinie uczestników w celu identyfikacji obszarów wymagających poprawy, dostosowywania procedur oraz upowszechniania rezultatów zdobytych na wymianie.</w:t>
      </w:r>
    </w:p>
    <w:p w14:paraId="760DEC53" w14:textId="2B147647" w:rsidR="00B87ABA" w:rsidRPr="00F67D72" w:rsidRDefault="00150797" w:rsidP="00F67D72">
      <w:pPr>
        <w:pStyle w:val="NormalnyWeb"/>
        <w:widowControl w:val="0"/>
        <w:numPr>
          <w:ilvl w:val="0"/>
          <w:numId w:val="2"/>
        </w:numPr>
        <w:spacing w:before="0" w:beforeAutospacing="0" w:after="120" w:afterAutospacing="0" w:line="276" w:lineRule="auto"/>
        <w:jc w:val="both"/>
      </w:pPr>
      <w:r w:rsidRPr="00150797">
        <w:rPr>
          <w:rStyle w:val="Pogrubienie"/>
        </w:rPr>
        <w:t>Tr</w:t>
      </w:r>
      <w:r w:rsidR="00B87ABA" w:rsidRPr="00150797">
        <w:rPr>
          <w:b/>
          <w:bCs/>
        </w:rPr>
        <w:t>aktowa</w:t>
      </w:r>
      <w:r w:rsidR="00F67D72" w:rsidRPr="00150797">
        <w:rPr>
          <w:b/>
          <w:bCs/>
        </w:rPr>
        <w:t>nie</w:t>
      </w:r>
      <w:r w:rsidR="00B87ABA" w:rsidRPr="00150797">
        <w:rPr>
          <w:b/>
          <w:bCs/>
        </w:rPr>
        <w:t xml:space="preserve"> mobilnoś</w:t>
      </w:r>
      <w:r w:rsidR="00F67D72" w:rsidRPr="00150797">
        <w:rPr>
          <w:b/>
          <w:bCs/>
        </w:rPr>
        <w:t>ci</w:t>
      </w:r>
      <w:r w:rsidR="00B87ABA" w:rsidRPr="00150797">
        <w:rPr>
          <w:b/>
          <w:bCs/>
        </w:rPr>
        <w:t xml:space="preserve"> pracownicz</w:t>
      </w:r>
      <w:r w:rsidR="00F67D72" w:rsidRPr="00150797">
        <w:rPr>
          <w:b/>
          <w:bCs/>
        </w:rPr>
        <w:t>ej</w:t>
      </w:r>
      <w:r w:rsidR="00B87ABA" w:rsidRPr="00F67D72">
        <w:t xml:space="preserve"> jako</w:t>
      </w:r>
      <w:r w:rsidR="00685EC9" w:rsidRPr="00F67D72">
        <w:t xml:space="preserve"> </w:t>
      </w:r>
      <w:proofErr w:type="spellStart"/>
      <w:r w:rsidR="00685EC9" w:rsidRPr="00F67D72">
        <w:t>jede</w:t>
      </w:r>
      <w:r>
        <w:t>go</w:t>
      </w:r>
      <w:proofErr w:type="spellEnd"/>
      <w:r w:rsidR="00685EC9" w:rsidRPr="00F67D72">
        <w:t xml:space="preserve"> z </w:t>
      </w:r>
      <w:r w:rsidR="00B87ABA" w:rsidRPr="00F67D72">
        <w:t>kluczowy</w:t>
      </w:r>
      <w:r w:rsidR="00685EC9" w:rsidRPr="00F67D72">
        <w:t xml:space="preserve">ch </w:t>
      </w:r>
      <w:r w:rsidR="00B87ABA" w:rsidRPr="00F67D72">
        <w:t>element</w:t>
      </w:r>
      <w:r w:rsidR="00685EC9" w:rsidRPr="00F67D72">
        <w:t>ów</w:t>
      </w:r>
      <w:r w:rsidR="00B87ABA" w:rsidRPr="00F67D72">
        <w:t xml:space="preserve"> strategii rozwoju uczelni, zgodnie z wytycznymi ECHE. Promowanie mobilności jako sposobu na rozwój zawodowy i osobisty pracowników powinno być integralną częścią planów, w tym także w kontekście współpracy z uczelniami partnerskimi oraz organizacjami zewnętrznymi.</w:t>
      </w:r>
    </w:p>
    <w:p w14:paraId="0F301CFF" w14:textId="281BA30A" w:rsidR="00B87ABA" w:rsidRPr="00F67D72" w:rsidRDefault="00150797" w:rsidP="00F67D72">
      <w:pPr>
        <w:pStyle w:val="NormalnyWeb"/>
        <w:widowControl w:val="0"/>
        <w:numPr>
          <w:ilvl w:val="0"/>
          <w:numId w:val="2"/>
        </w:numPr>
        <w:spacing w:before="0" w:beforeAutospacing="0" w:after="120" w:afterAutospacing="0" w:line="276" w:lineRule="auto"/>
        <w:jc w:val="both"/>
      </w:pPr>
      <w:r w:rsidRPr="00150797">
        <w:rPr>
          <w:rStyle w:val="Pogrubienie"/>
        </w:rPr>
        <w:t>P</w:t>
      </w:r>
      <w:r w:rsidR="00B87ABA" w:rsidRPr="00150797">
        <w:rPr>
          <w:b/>
          <w:bCs/>
        </w:rPr>
        <w:t>romowa</w:t>
      </w:r>
      <w:r w:rsidRPr="00150797">
        <w:rPr>
          <w:b/>
          <w:bCs/>
        </w:rPr>
        <w:t>nie</w:t>
      </w:r>
      <w:r w:rsidR="00B87ABA" w:rsidRPr="00150797">
        <w:rPr>
          <w:b/>
          <w:bCs/>
        </w:rPr>
        <w:t xml:space="preserve"> korzyści</w:t>
      </w:r>
      <w:r w:rsidR="00B87ABA" w:rsidRPr="00F67D72">
        <w:t xml:space="preserve"> płynąc</w:t>
      </w:r>
      <w:r>
        <w:t>ych</w:t>
      </w:r>
      <w:r w:rsidR="00B87ABA" w:rsidRPr="00F67D72">
        <w:t xml:space="preserve"> z mobilności dla pracowników, zarówno na poziomie indywidualnym, jak i instytucjonalnym. Zwiększenie świadomości o wartościach, jakie </w:t>
      </w:r>
      <w:r w:rsidR="00B87ABA" w:rsidRPr="00F67D72">
        <w:lastRenderedPageBreak/>
        <w:t>niesie za sobą mobilność w ramach Erasmus+, pomoże w budowaniu kultury międzynarodowej współpracy i zwiększy motywację do udziału w programie.</w:t>
      </w:r>
    </w:p>
    <w:p w14:paraId="43D52B64" w14:textId="77777777" w:rsidR="00B87ABA" w:rsidRPr="00F67D72" w:rsidRDefault="00B87ABA" w:rsidP="00F67D72">
      <w:pPr>
        <w:pStyle w:val="NormalnyWeb"/>
        <w:widowControl w:val="0"/>
        <w:spacing w:before="0" w:beforeAutospacing="0" w:after="120" w:afterAutospacing="0" w:line="276" w:lineRule="auto"/>
        <w:jc w:val="both"/>
      </w:pPr>
      <w:r w:rsidRPr="00F67D72">
        <w:rPr>
          <w:rStyle w:val="Pogrubienie"/>
        </w:rPr>
        <w:t>Ponadto zaleca się wprowadzenie praktyk, takich jak:</w:t>
      </w:r>
    </w:p>
    <w:p w14:paraId="63EE837A" w14:textId="1414E74D" w:rsidR="00B87ABA" w:rsidRPr="00F67D72" w:rsidRDefault="00B87ABA" w:rsidP="00F67D72">
      <w:pPr>
        <w:pStyle w:val="Tekstkomentarza"/>
        <w:widowControl w:val="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72">
        <w:rPr>
          <w:rFonts w:ascii="Times New Roman" w:hAnsi="Times New Roman" w:cs="Times New Roman"/>
          <w:b/>
          <w:bCs/>
          <w:sz w:val="24"/>
          <w:szCs w:val="24"/>
        </w:rPr>
        <w:t>Wymiana doświadczeń</w:t>
      </w:r>
      <w:r w:rsidRPr="00F67D72">
        <w:rPr>
          <w:rFonts w:ascii="Times New Roman" w:hAnsi="Times New Roman" w:cs="Times New Roman"/>
          <w:sz w:val="24"/>
          <w:szCs w:val="24"/>
        </w:rPr>
        <w:t xml:space="preserve"> pomiędzy pracownikami, którzy uczestniczyli już w wyjazdach w ramach programu Erasmus+, a tymi, którzy zamierzają skorzystać z takiej możliwości, w tym przekazanie informacji o przyjmującej jednostce pozostałym pracownikom.</w:t>
      </w:r>
      <w:r w:rsidR="00685EC9" w:rsidRPr="00F67D72">
        <w:rPr>
          <w:rFonts w:ascii="Times New Roman" w:hAnsi="Times New Roman" w:cs="Times New Roman"/>
          <w:sz w:val="24"/>
          <w:szCs w:val="24"/>
        </w:rPr>
        <w:t xml:space="preserve"> Da to możliwość dzielenia się w obrębie jednostki wiedzą i umiejętnościami zdobytymi podczas wyjazdu (ich transferu i promocji) np. na temat innowacyjnej edukacji, nowatorskich metod itp. Można to robić poprzez spotkania, warsztaty, konferencje, publikacje itp. </w:t>
      </w:r>
    </w:p>
    <w:p w14:paraId="6F8B2C60" w14:textId="22D73F0B" w:rsidR="00F67D72" w:rsidRPr="00F67D72" w:rsidRDefault="00B87ABA" w:rsidP="00F67D72">
      <w:pPr>
        <w:pStyle w:val="Tekstkomentarza"/>
        <w:widowControl w:val="0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72">
        <w:rPr>
          <w:rFonts w:ascii="Times New Roman" w:hAnsi="Times New Roman" w:cs="Times New Roman"/>
          <w:b/>
          <w:bCs/>
          <w:sz w:val="24"/>
          <w:szCs w:val="24"/>
        </w:rPr>
        <w:t>Publikacja informacji</w:t>
      </w:r>
      <w:r w:rsidRPr="00F67D72">
        <w:rPr>
          <w:rFonts w:ascii="Times New Roman" w:hAnsi="Times New Roman" w:cs="Times New Roman"/>
          <w:sz w:val="24"/>
          <w:szCs w:val="24"/>
        </w:rPr>
        <w:t xml:space="preserve"> podsumowującej wyjazd na stronie internetowej danej jednostki</w:t>
      </w:r>
      <w:r w:rsidR="00685EC9" w:rsidRPr="00F67D72">
        <w:rPr>
          <w:rFonts w:ascii="Times New Roman" w:hAnsi="Times New Roman" w:cs="Times New Roman"/>
          <w:sz w:val="24"/>
          <w:szCs w:val="24"/>
        </w:rPr>
        <w:t xml:space="preserve"> lub upowszechnianie rezultatów w dowolnej innej formie</w:t>
      </w:r>
      <w:r w:rsidRPr="00F67D72">
        <w:rPr>
          <w:rFonts w:ascii="Times New Roman" w:hAnsi="Times New Roman" w:cs="Times New Roman"/>
          <w:sz w:val="24"/>
          <w:szCs w:val="24"/>
        </w:rPr>
        <w:t>.</w:t>
      </w:r>
    </w:p>
    <w:p w14:paraId="612D4BC0" w14:textId="646FA977" w:rsidR="00B87ABA" w:rsidRPr="00F67D72" w:rsidRDefault="00B87ABA" w:rsidP="00F67D72">
      <w:pPr>
        <w:pStyle w:val="NormalnyWeb"/>
        <w:widowControl w:val="0"/>
        <w:numPr>
          <w:ilvl w:val="0"/>
          <w:numId w:val="3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Zachęcanie do wyjazdów</w:t>
      </w:r>
      <w:r w:rsidRPr="00F67D72">
        <w:t xml:space="preserve"> pracowników i pracowniczek ze stażem pracy poniżej 5 lat. Pierwsze lata pracy to przede wszystkim czas oswajania z organizacją pracy uczelni, dlatego osoby te często nie docierają do informacji o możliwościach wyjazdu, a jeśli docierają, rzadko z nich korzystają</w:t>
      </w:r>
      <w:r w:rsidR="00685EC9" w:rsidRPr="00F67D72">
        <w:t xml:space="preserve"> (tworzenie planów </w:t>
      </w:r>
      <w:r w:rsidR="00027457" w:rsidRPr="00F67D72">
        <w:t xml:space="preserve">rozwojowych i szkoleń dla młodych pracowników, w tym </w:t>
      </w:r>
      <w:r w:rsidR="00132877" w:rsidRPr="00F67D72">
        <w:t xml:space="preserve">uwzględnienie </w:t>
      </w:r>
      <w:r w:rsidR="00027457" w:rsidRPr="00F67D72">
        <w:t>mobilności Erasmus+ typu STA lub STT)</w:t>
      </w:r>
      <w:r w:rsidRPr="00F67D72">
        <w:t>.</w:t>
      </w:r>
    </w:p>
    <w:p w14:paraId="21BFF42C" w14:textId="689F45AE" w:rsidR="00B87ABA" w:rsidRPr="00F67D72" w:rsidRDefault="00B87ABA" w:rsidP="00F67D72">
      <w:pPr>
        <w:pStyle w:val="NormalnyWeb"/>
        <w:widowControl w:val="0"/>
        <w:numPr>
          <w:ilvl w:val="0"/>
          <w:numId w:val="3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Brak konieczności odrabiania zajęć</w:t>
      </w:r>
      <w:r w:rsidRPr="00F67D72">
        <w:t xml:space="preserve"> na UW, które „wypadły” w czasie mobilności na zagranicznej uczelni</w:t>
      </w:r>
      <w:r w:rsidR="00027457" w:rsidRPr="00F67D72">
        <w:t xml:space="preserve"> tj. elastyczne podejście wspierające wyjazdy zagraniczne np. możliwość zastępstw, zajęć online itp</w:t>
      </w:r>
      <w:r w:rsidRPr="00F67D72">
        <w:t>.</w:t>
      </w:r>
    </w:p>
    <w:p w14:paraId="5C06F348" w14:textId="734FD8AF" w:rsidR="00B87ABA" w:rsidRPr="00F67D72" w:rsidRDefault="00B87ABA" w:rsidP="00F67D72">
      <w:pPr>
        <w:pStyle w:val="NormalnyWeb"/>
        <w:widowControl w:val="0"/>
        <w:numPr>
          <w:ilvl w:val="0"/>
          <w:numId w:val="3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Uwzględnienie mobilności</w:t>
      </w:r>
      <w:r w:rsidRPr="00F67D72">
        <w:t xml:space="preserve"> w ramach Programu Erasmus+ przy ocenie okresowej</w:t>
      </w:r>
      <w:r w:rsidR="0052071A" w:rsidRPr="00F67D72">
        <w:t xml:space="preserve"> i przy awansie zawodowym</w:t>
      </w:r>
      <w:r w:rsidRPr="00F67D72">
        <w:t xml:space="preserve"> pracowników</w:t>
      </w:r>
      <w:r w:rsidR="00027457" w:rsidRPr="00F67D72">
        <w:t>, w tym wpisywanie mobilności Erasmus+ do portfolio pracownika jako elementu ścieżki rozwoju zawodowego</w:t>
      </w:r>
      <w:r w:rsidRPr="00F67D72">
        <w:t>.</w:t>
      </w:r>
    </w:p>
    <w:p w14:paraId="2521C6F3" w14:textId="77777777" w:rsidR="00B87ABA" w:rsidRPr="00F67D72" w:rsidRDefault="00B87ABA" w:rsidP="00F67D72">
      <w:pPr>
        <w:pStyle w:val="NormalnyWeb"/>
        <w:widowControl w:val="0"/>
        <w:numPr>
          <w:ilvl w:val="0"/>
          <w:numId w:val="3"/>
        </w:numPr>
        <w:spacing w:before="0" w:beforeAutospacing="0" w:after="120" w:afterAutospacing="0" w:line="276" w:lineRule="auto"/>
        <w:jc w:val="both"/>
      </w:pPr>
      <w:r w:rsidRPr="00F67D72">
        <w:rPr>
          <w:b/>
          <w:bCs/>
        </w:rPr>
        <w:t>Uwzględnienie wyjazdów</w:t>
      </w:r>
      <w:r w:rsidRPr="00F67D72">
        <w:t xml:space="preserve"> w premiach kwartalnych i/lub nagrodzie Rektora UW.</w:t>
      </w:r>
    </w:p>
    <w:p w14:paraId="451041D9" w14:textId="14815411" w:rsidR="005C27E1" w:rsidRDefault="005C27E1" w:rsidP="00F67D72">
      <w:pPr>
        <w:pStyle w:val="NormalnyWeb"/>
        <w:widowControl w:val="0"/>
        <w:spacing w:before="0" w:beforeAutospacing="0" w:after="120" w:afterAutospacing="0" w:line="276" w:lineRule="auto"/>
        <w:ind w:left="720"/>
        <w:jc w:val="both"/>
      </w:pPr>
    </w:p>
    <w:sectPr w:rsidR="005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359"/>
    <w:multiLevelType w:val="multilevel"/>
    <w:tmpl w:val="367E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C2C74"/>
    <w:multiLevelType w:val="multilevel"/>
    <w:tmpl w:val="463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32FD5"/>
    <w:multiLevelType w:val="multilevel"/>
    <w:tmpl w:val="8C3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19"/>
    <w:rsid w:val="00027457"/>
    <w:rsid w:val="00132877"/>
    <w:rsid w:val="00141E90"/>
    <w:rsid w:val="00150797"/>
    <w:rsid w:val="001677E4"/>
    <w:rsid w:val="0018715F"/>
    <w:rsid w:val="00342CD7"/>
    <w:rsid w:val="003C19E4"/>
    <w:rsid w:val="0052071A"/>
    <w:rsid w:val="00535F01"/>
    <w:rsid w:val="00581BFE"/>
    <w:rsid w:val="0059129E"/>
    <w:rsid w:val="005C27E1"/>
    <w:rsid w:val="005F432E"/>
    <w:rsid w:val="00661425"/>
    <w:rsid w:val="00685EC9"/>
    <w:rsid w:val="006E5BFE"/>
    <w:rsid w:val="00747A12"/>
    <w:rsid w:val="00812439"/>
    <w:rsid w:val="00825843"/>
    <w:rsid w:val="0089544A"/>
    <w:rsid w:val="00A746A8"/>
    <w:rsid w:val="00AA0A19"/>
    <w:rsid w:val="00AA5669"/>
    <w:rsid w:val="00B56001"/>
    <w:rsid w:val="00B87ABA"/>
    <w:rsid w:val="00D41D1E"/>
    <w:rsid w:val="00DE2CC7"/>
    <w:rsid w:val="00F66AF0"/>
    <w:rsid w:val="00F67D72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AF5C"/>
  <w15:chartTrackingRefBased/>
  <w15:docId w15:val="{C307DE9C-2BF5-41C1-818E-2F09040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0A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25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Satała</dc:creator>
  <cp:keywords/>
  <dc:description/>
  <cp:lastModifiedBy>sambor.grucza</cp:lastModifiedBy>
  <cp:revision>3</cp:revision>
  <dcterms:created xsi:type="dcterms:W3CDTF">2025-05-13T10:47:00Z</dcterms:created>
  <dcterms:modified xsi:type="dcterms:W3CDTF">2025-05-13T10:50:00Z</dcterms:modified>
</cp:coreProperties>
</file>