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B87A" w14:textId="5695F630" w:rsidR="00973E80" w:rsidRDefault="00973E80" w:rsidP="00973E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E80">
        <w:rPr>
          <w:rFonts w:ascii="Times New Roman" w:hAnsi="Times New Roman" w:cs="Times New Roman"/>
          <w:b/>
          <w:bCs/>
          <w:sz w:val="28"/>
          <w:szCs w:val="28"/>
        </w:rPr>
        <w:t>Lektury egzaminacyjne dla studentów I roku studiów dziennych Historii</w:t>
      </w:r>
    </w:p>
    <w:p w14:paraId="0CA82D32" w14:textId="1ECA7D46" w:rsidR="00973E80" w:rsidRPr="00973E80" w:rsidRDefault="00973E80" w:rsidP="00973E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E80">
        <w:rPr>
          <w:rFonts w:ascii="Times New Roman" w:hAnsi="Times New Roman" w:cs="Times New Roman"/>
          <w:b/>
          <w:bCs/>
          <w:sz w:val="28"/>
          <w:szCs w:val="28"/>
        </w:rPr>
        <w:t>w roku akademickim 2024/2025</w:t>
      </w:r>
    </w:p>
    <w:p w14:paraId="1F782B0F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</w:p>
    <w:p w14:paraId="2CEA5D02" w14:textId="2CDB7701" w:rsidR="00973E80" w:rsidRPr="00973E80" w:rsidRDefault="00973E80" w:rsidP="00973E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3E80">
        <w:rPr>
          <w:rFonts w:ascii="Times New Roman" w:hAnsi="Times New Roman" w:cs="Times New Roman"/>
          <w:b/>
          <w:bCs/>
          <w:sz w:val="28"/>
          <w:szCs w:val="28"/>
        </w:rPr>
        <w:t>ZAKRES EGZAMINU:</w:t>
      </w:r>
    </w:p>
    <w:p w14:paraId="7A711AC1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</w:p>
    <w:p w14:paraId="35FEE108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>Egzamin z historii starożytnej obejmuje znajomość atlasu do historii starożytnej (niżej, pkt. A.), połączonego materiału podręcznikowego (pkt. B), oraz łącznie JEDNEJ lektury uzupełniającej wybranej przez Państwa z listy, którą proponuję (pkt. C.1) – z trzech działów: “Grecja”, “Rzym” oraz “Ogólne”.</w:t>
      </w:r>
    </w:p>
    <w:p w14:paraId="0E0BB871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</w:p>
    <w:p w14:paraId="72AF73EE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>UWAGA: Istnieje możliwość ustalenia JEDNEJ lektury uzupełniającej obcojęzycznej zamiast polskiej (pkt. D.1); taka książka zwalnia również z lektury obowiązkowej z działu B (Człowiek Rzymu, Warszawa 1997). Kilka sugerowanych tytułów znajdą Państwo poniżej, w pkt. C.2, inne ustalę w porozumieniu z zainteresowanymi takim rozwiązaniem.</w:t>
      </w:r>
    </w:p>
    <w:p w14:paraId="149605A5" w14:textId="1761DBE1" w:rsid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</w:p>
    <w:p w14:paraId="203CF1D3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</w:p>
    <w:p w14:paraId="5A634622" w14:textId="77777777" w:rsidR="00973E80" w:rsidRPr="00973E80" w:rsidRDefault="00973E80" w:rsidP="00973E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3E80">
        <w:rPr>
          <w:rFonts w:ascii="Times New Roman" w:hAnsi="Times New Roman" w:cs="Times New Roman"/>
          <w:b/>
          <w:bCs/>
          <w:sz w:val="28"/>
          <w:szCs w:val="28"/>
        </w:rPr>
        <w:t>A) ATLASY:</w:t>
      </w:r>
    </w:p>
    <w:p w14:paraId="2D867339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</w:p>
    <w:p w14:paraId="6CC65093" w14:textId="601C638F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>Obowiązkowym elementem egzaminu jest znajomość map świata antycznego:</w:t>
      </w:r>
    </w:p>
    <w:p w14:paraId="0F0DF810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>• L. Piotrowicz, Atlas do historii starożytnej (Warszawa, wiele wydań).</w:t>
      </w:r>
    </w:p>
    <w:p w14:paraId="59312058" w14:textId="5F5719DC" w:rsid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</w:p>
    <w:p w14:paraId="2B87E4D0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</w:p>
    <w:p w14:paraId="4CB2B80B" w14:textId="77777777" w:rsidR="00973E80" w:rsidRPr="00973E80" w:rsidRDefault="00973E80" w:rsidP="00973E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3E80">
        <w:rPr>
          <w:rFonts w:ascii="Times New Roman" w:hAnsi="Times New Roman" w:cs="Times New Roman"/>
          <w:b/>
          <w:bCs/>
          <w:sz w:val="28"/>
          <w:szCs w:val="28"/>
        </w:rPr>
        <w:t>B) PODRĘCZNIKI:</w:t>
      </w:r>
    </w:p>
    <w:p w14:paraId="7F4B634C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</w:p>
    <w:p w14:paraId="0A2D4AA1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>• A. Ziółkowski, Historia powszechna. Starożytność, Warszawa 2009, strony 54-419 [Część I: rozdział 4; Część II: rozdział 1 i 2; Część III: rozdział 1, 2 i 3; Część IV: rozdział 1, 2 i 3; Część V: rozdział 1, 2 (tylko częściowo!)]; strony 449-493 [Część V: rozdział 3; Część VI: rozdział 1]; strony 508-515 [Część VI: rozdział 2 (tylko częściowo!)]; strony 551-654 [Część VI: rozdział 3; Część VII: rozdział 1 (tylko częściowo!)]; strony 700- 1033 [Część VII: rozdział 2; Część VIII: rozdział 1, 2 oraz 3];</w:t>
      </w:r>
    </w:p>
    <w:p w14:paraId="0694CB3F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</w:p>
    <w:p w14:paraId="1545F1AD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>UWAGA: Osoby, które zaliczyły pozytywnie egzamin cząstkowy z dziejów starożytnego Wschodu w sesji zimowej zwolnione są z partii podręcznika dotyczących dziejów Wschodu poprzedzających powstanie imperium perskiego, a więc NIE CZYTAJĄ orientalnych rozdziałów podręcznika aż do strony 364 (KONIECZNIE CZYTAJĄ natomiast partie poświęcone Azji Mniejszej i Egei od początku podręcznika: strony 171-194 oraz strony 250-283) oraz pozostałe wyżej wymienione rozdziały.</w:t>
      </w:r>
    </w:p>
    <w:p w14:paraId="37553FC2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</w:p>
    <w:p w14:paraId="5C7BBB02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 xml:space="preserve">• B.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Bravo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 xml:space="preserve"> &amp; E.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Wipszycka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>, Historia starożytnych Greków, tom I (Do końca wojen perskich), Warszawa 1988, strony 235-380 [„Ateny”; „Epoka wojen perskich”; „Religia”; „Kultura Grecji archaicznej”];</w:t>
      </w:r>
    </w:p>
    <w:p w14:paraId="11C22B26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</w:p>
    <w:p w14:paraId="60FE081A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 xml:space="preserve">• B.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Bravo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 xml:space="preserve">, M.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Węcowski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 xml:space="preserve">, E.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Wipszycka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>, A. Wolicki, Historia starożytnych Greków, tom II (Okres klasyczny), Warszawa 2009, strony 25-139 [„Sztuka wojenna czasów klasycznych”; „Pięćdziesięciolecie”; „Imperium ateńskie”], 235-685 [Część 3: „Wiek IV”; Część 4: „Ateny i Sparta – instytucje polis w epoce klasycznej”; Część 5: „Kultura w polis okresu klasycznego”; Część 6: „Grecy poza światem egejskim”; Część 7:</w:t>
      </w:r>
    </w:p>
    <w:p w14:paraId="0C89A93C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>„Gospodarka”; Część 8: „Niewolnictwo”];</w:t>
      </w:r>
    </w:p>
    <w:p w14:paraId="182E29D5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</w:p>
    <w:p w14:paraId="4279AD4C" w14:textId="3C24521F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 xml:space="preserve">• B.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Bravo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 xml:space="preserve"> &amp; E.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Wipszycka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>, Historia starożytnych Greków, tom III (Okres hellenistyczny), NOWE WYDANIE: Warszawa 2001, strony 586-672 [rozdz. X: „Miasta greckie”; rozdz. XI: „Kultura”; rozdz. XII: „Religia”];</w:t>
      </w:r>
    </w:p>
    <w:p w14:paraId="50FA1FE3" w14:textId="586F3BB0" w:rsid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</w:p>
    <w:p w14:paraId="3E51B344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</w:p>
    <w:p w14:paraId="26A63B28" w14:textId="77777777" w:rsidR="00973E80" w:rsidRPr="00973E80" w:rsidRDefault="00973E80" w:rsidP="00973E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3E80">
        <w:rPr>
          <w:rFonts w:ascii="Times New Roman" w:hAnsi="Times New Roman" w:cs="Times New Roman"/>
          <w:b/>
          <w:bCs/>
          <w:sz w:val="28"/>
          <w:szCs w:val="28"/>
        </w:rPr>
        <w:t>C.1) LEKTURY UZUPEŁNIAJĄCE (jedna do wyboru):</w:t>
      </w:r>
    </w:p>
    <w:p w14:paraId="52383264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</w:p>
    <w:p w14:paraId="6E92E813" w14:textId="5D15F023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b/>
          <w:bCs/>
          <w:sz w:val="28"/>
          <w:szCs w:val="28"/>
        </w:rPr>
        <w:t>Ogólne</w:t>
      </w:r>
      <w:r w:rsidRPr="00973E80">
        <w:rPr>
          <w:rFonts w:ascii="Times New Roman" w:hAnsi="Times New Roman" w:cs="Times New Roman"/>
          <w:sz w:val="28"/>
          <w:szCs w:val="28"/>
        </w:rPr>
        <w:t>:</w:t>
      </w:r>
    </w:p>
    <w:p w14:paraId="14DE1FAF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>• I. Bieżuńska-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Małowist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 xml:space="preserve">—M.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Małowist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>, Niewolnictwo, Warszawa 1987 (tylko s. 7-238).</w:t>
      </w:r>
    </w:p>
    <w:p w14:paraId="28723CF0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 xml:space="preserve">• W.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Burkert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>, Starożytne kulty misteryjne, Bydgoszcz 2001 (całość);</w:t>
      </w:r>
    </w:p>
    <w:p w14:paraId="41989E27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lastRenderedPageBreak/>
        <w:t>• M.I. Finley, Polityka w świecie starożytnym, Kraków—Warszawa 2000 (całość);</w:t>
      </w:r>
    </w:p>
    <w:p w14:paraId="16F80547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 xml:space="preserve">• P.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Hadot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>, Czym jest filozofia starożytna?, Warszawa 2000 (całość);</w:t>
      </w:r>
    </w:p>
    <w:p w14:paraId="43EF36BB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 xml:space="preserve">• H.-I.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Marrou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>, Historia wychowania w starożytności, Warszawa 1960 (całość);</w:t>
      </w:r>
    </w:p>
    <w:p w14:paraId="4B1377C7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 xml:space="preserve">• Historia życia prywatnego, t. I: Od Cesarstwa Rzymskiego do roku tysięcznego, pod red. P.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Veyne’a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>, Wrocław—Warszawa—Kraków 1999 (tylko s. 21-395);</w:t>
      </w:r>
    </w:p>
    <w:p w14:paraId="44E6F0F3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>• A. Wypustek, Magia antyczna, Wrocław 2001 (całość).</w:t>
      </w:r>
    </w:p>
    <w:p w14:paraId="6AB66414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</w:p>
    <w:p w14:paraId="722A503E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</w:p>
    <w:p w14:paraId="5163E4DE" w14:textId="2DAA494E" w:rsidR="00973E80" w:rsidRPr="00973E80" w:rsidRDefault="00973E80" w:rsidP="00973E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3E80">
        <w:rPr>
          <w:rFonts w:ascii="Times New Roman" w:hAnsi="Times New Roman" w:cs="Times New Roman"/>
          <w:b/>
          <w:bCs/>
          <w:sz w:val="28"/>
          <w:szCs w:val="28"/>
        </w:rPr>
        <w:t>Grecja:</w:t>
      </w:r>
    </w:p>
    <w:p w14:paraId="0050041A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 xml:space="preserve">• J.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Boardman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>, Sztuka grecka, Toruń—Wrocław 1999 (całość);</w:t>
      </w:r>
    </w:p>
    <w:p w14:paraId="18B9F8B1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 xml:space="preserve">• E.R.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Dodds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>, Grecy i irracjonalność, Bydgoszcz 2002 (całość);</w:t>
      </w:r>
    </w:p>
    <w:p w14:paraId="31866E54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>• K.J. Dover, Homoseksualizm grecki, Kraków 2004 (całość);</w:t>
      </w:r>
    </w:p>
    <w:p w14:paraId="0D434E10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>• N.G.L. Hammond, Starożytna Macedonia, Warszawa 1999 (całość).</w:t>
      </w:r>
    </w:p>
    <w:p w14:paraId="6A1674AE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>• M. H. Hansen, Demokracja ateńska w czasach Demostenesa, Warszawa 1999 (całość);</w:t>
      </w:r>
    </w:p>
    <w:p w14:paraId="7A87323D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 xml:space="preserve">• W.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Jaeger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Paideia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>. Formowanie człowieka greckiego, Warszawa 2001 (s. 29-319 albo s. 321-504 oraz 961-1109);</w:t>
      </w:r>
    </w:p>
    <w:p w14:paraId="2F9F581B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>• R. Kulesza, Sparta w V-IV wieku p.n.e., Warszawa 2003 (całość);</w:t>
      </w:r>
    </w:p>
    <w:p w14:paraId="0F03C6B9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 xml:space="preserve">• W.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Lengauer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>, Religijność starożytnych Greków, Warszawa 1994 (całość);</w:t>
      </w:r>
    </w:p>
    <w:p w14:paraId="1EEB628D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 xml:space="preserve">• B.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Snell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>, Odkrycie ducha, Warszawa 2009 (całość);</w:t>
      </w:r>
    </w:p>
    <w:p w14:paraId="47308FAB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 xml:space="preserve">• A. Świderkówna,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Hellenika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>. Wizerunek epoki od Aleksandra do Augusta, Warszawa 1978 (całość);</w:t>
      </w:r>
    </w:p>
    <w:p w14:paraId="2D0461CC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 xml:space="preserve">• O.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Taplin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>, Tragedia grecka w działaniu, Kraków 2004 (całość);</w:t>
      </w:r>
    </w:p>
    <w:p w14:paraId="1C289E50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 xml:space="preserve">• J.-P.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Vernant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>, Źródła myśli greckiej (koniecznie 2. wyd.!), Gdańsk 1996 (całość);</w:t>
      </w:r>
    </w:p>
    <w:p w14:paraId="5D4E1650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>• P. Vidal-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Naquet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>, Czarny łowca. Formy myśli i formy życia społecznego w świecie greckim, Warszawa 2003 (całość);</w:t>
      </w:r>
    </w:p>
    <w:p w14:paraId="17BADE32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 xml:space="preserve">• E.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Zwolski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Choreia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>. Muza i bóstwo w religii greckiej, Warszawa 1978 (całość).</w:t>
      </w:r>
    </w:p>
    <w:p w14:paraId="19D041EB" w14:textId="78CAFFF6" w:rsidR="00973E80" w:rsidRPr="00973E80" w:rsidRDefault="00973E80" w:rsidP="00973E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3E80">
        <w:rPr>
          <w:rFonts w:ascii="Times New Roman" w:hAnsi="Times New Roman" w:cs="Times New Roman"/>
          <w:b/>
          <w:bCs/>
          <w:sz w:val="28"/>
          <w:szCs w:val="28"/>
        </w:rPr>
        <w:lastRenderedPageBreak/>
        <w:t>Rzym:</w:t>
      </w:r>
    </w:p>
    <w:p w14:paraId="657D8526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 xml:space="preserve">• P. Brown, Augustyn z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Hippony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>, Warszawa 1993 (całość);</w:t>
      </w:r>
    </w:p>
    <w:p w14:paraId="1B69E62A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 xml:space="preserve">• E.R.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Dodds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>, Pogaństwo i chrześcijaństwo w epoce niepokoju. Niektóre aspekty doświadczenia religijnego od Marka Aureliusza do Konstantyna Wielkiego, Kraków 2004 (całość);</w:t>
      </w:r>
    </w:p>
    <w:p w14:paraId="48AF8730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 xml:space="preserve">• R.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Étienne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>, Życie codzienne w Pompejach, Warszawa 1971 (całość);</w:t>
      </w:r>
    </w:p>
    <w:p w14:paraId="10E2238B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 xml:space="preserve">• M.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Jaczynowska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>, Religie świata rzymskiego, Warszawa 1987 (całość);</w:t>
      </w:r>
    </w:p>
    <w:p w14:paraId="4E7A3C93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 xml:space="preserve">• K.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Kęciek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>, Dzieje Kartagińczyków. Historia nie zawsze ortodoksyjna, Warszawa 2003 (całość);</w:t>
      </w:r>
    </w:p>
    <w:p w14:paraId="4272AC44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>• A. Łukaszewicz, Świat papirusów, Warszawa 2001 (całość);</w:t>
      </w:r>
    </w:p>
    <w:p w14:paraId="444796E0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>• M. Sartre, Wschód rzymski, Wrocław 1997 (całość);</w:t>
      </w:r>
    </w:p>
    <w:p w14:paraId="0973F7FB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 xml:space="preserve">• D.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Słapek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>, Gladiatorzy i polityka. Igrzyska w okresie późnej republiki rzymskiej, Wrocław 1995 (całość);</w:t>
      </w:r>
    </w:p>
    <w:p w14:paraId="40FCFB2D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>• M. Wheeler, Rzym poza granicami cesarstwa, Warszawa 1958 (całość);</w:t>
      </w:r>
    </w:p>
    <w:p w14:paraId="443CC085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 xml:space="preserve">• E.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Wipszycka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>, Kościół w świecie późnego antyku, Warszawa 1994 i 2006 (całość);</w:t>
      </w:r>
    </w:p>
    <w:p w14:paraId="69B2799E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 xml:space="preserve">• P.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Zanker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>, August i potęga obrazów, Poznań 1999 (całość).</w:t>
      </w:r>
    </w:p>
    <w:p w14:paraId="6E02BD7D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</w:p>
    <w:p w14:paraId="7A2C5D1E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</w:p>
    <w:p w14:paraId="12FD39B8" w14:textId="77777777" w:rsidR="00973E80" w:rsidRPr="00973E80" w:rsidRDefault="00973E80" w:rsidP="00973E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3E80">
        <w:rPr>
          <w:rFonts w:ascii="Times New Roman" w:hAnsi="Times New Roman" w:cs="Times New Roman"/>
          <w:b/>
          <w:bCs/>
          <w:sz w:val="28"/>
          <w:szCs w:val="28"/>
        </w:rPr>
        <w:t>C.2) OBCOJĘZYCZNE LEKTURY UZUPEŁNIAJĄCE (przykładowo):</w:t>
      </w:r>
    </w:p>
    <w:p w14:paraId="179BF807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</w:p>
    <w:p w14:paraId="5586D026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 xml:space="preserve">• W JĘZYKU ANGIELSKIM: O. Murray, S.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Price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 xml:space="preserve"> (wyd.), The Greek City. From Homer to Alexander, Oxford 1990 (całość).</w:t>
      </w:r>
    </w:p>
    <w:p w14:paraId="2FEC3712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</w:p>
    <w:p w14:paraId="14096B48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 xml:space="preserve">• W JĘZYKU FRANCUSKIM: P.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Veyne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 xml:space="preserve">, Le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pain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 xml:space="preserve"> et le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cirque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Sociologie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historique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d’un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pluralisme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politique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>, Paris 1976 i wiele następnych wydań (całość).</w:t>
      </w:r>
    </w:p>
    <w:p w14:paraId="48657668" w14:textId="77777777" w:rsidR="00973E80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</w:p>
    <w:p w14:paraId="14A36585" w14:textId="777C5808" w:rsidR="00044EE1" w:rsidRPr="00973E80" w:rsidRDefault="00973E80" w:rsidP="00973E80">
      <w:pPr>
        <w:rPr>
          <w:rFonts w:ascii="Times New Roman" w:hAnsi="Times New Roman" w:cs="Times New Roman"/>
          <w:sz w:val="28"/>
          <w:szCs w:val="28"/>
        </w:rPr>
      </w:pPr>
      <w:r w:rsidRPr="00973E80">
        <w:rPr>
          <w:rFonts w:ascii="Times New Roman" w:hAnsi="Times New Roman" w:cs="Times New Roman"/>
          <w:sz w:val="28"/>
          <w:szCs w:val="28"/>
        </w:rPr>
        <w:t xml:space="preserve">• W JĘZYKU NIEMIECKIM: J. Latacz,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Troia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 xml:space="preserve"> Homer. Der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Weg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zur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Lösung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eines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alten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Rätsels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München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73E80">
        <w:rPr>
          <w:rFonts w:ascii="Times New Roman" w:hAnsi="Times New Roman" w:cs="Times New Roman"/>
          <w:sz w:val="28"/>
          <w:szCs w:val="28"/>
        </w:rPr>
        <w:t>Zürich</w:t>
      </w:r>
      <w:proofErr w:type="spellEnd"/>
      <w:r w:rsidRPr="00973E80">
        <w:rPr>
          <w:rFonts w:ascii="Times New Roman" w:hAnsi="Times New Roman" w:cs="Times New Roman"/>
          <w:sz w:val="28"/>
          <w:szCs w:val="28"/>
        </w:rPr>
        <w:t xml:space="preserve"> 2003 (całość).</w:t>
      </w:r>
    </w:p>
    <w:sectPr w:rsidR="00044EE1" w:rsidRPr="00973E80" w:rsidSect="00973E8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16"/>
    <w:rsid w:val="00044EE1"/>
    <w:rsid w:val="00790216"/>
    <w:rsid w:val="0097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D308"/>
  <w15:chartTrackingRefBased/>
  <w15:docId w15:val="{AE4E2EE5-2E13-4D8F-82F6-7B68D150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4973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Eldaniie Abdurashytova</dc:creator>
  <cp:keywords/>
  <dc:description/>
  <cp:lastModifiedBy>Eldaniie Abdurashytova</cp:lastModifiedBy>
  <cp:revision>3</cp:revision>
  <dcterms:created xsi:type="dcterms:W3CDTF">2024-12-03T11:38:00Z</dcterms:created>
  <dcterms:modified xsi:type="dcterms:W3CDTF">2024-12-03T11:39:00Z</dcterms:modified>
</cp:coreProperties>
</file>