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2" w:name="_heading=h.tyjcwt" w:colFirst="0" w:colLast="0"/>
      <w:bookmarkEnd w:id="2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proofErr w:type="spellStart"/>
            <w:r w:rsidR="0030389E"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</w:t>
            </w:r>
            <w:proofErr w:type="spellStart"/>
            <w:r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 xml:space="preserve">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</w:t>
            </w:r>
            <w:proofErr w:type="spellStart"/>
            <w:r w:rsidRPr="0009686B">
              <w:rPr>
                <w:sz w:val="21"/>
                <w:szCs w:val="21"/>
              </w:rPr>
              <w:t>Przeździecki</w:t>
            </w:r>
            <w:proofErr w:type="spellEnd"/>
            <w:r w:rsidRPr="0009686B">
              <w:rPr>
                <w:sz w:val="21"/>
                <w:szCs w:val="21"/>
              </w:rPr>
              <w:t xml:space="preserve"> </w:t>
            </w:r>
          </w:p>
          <w:p w14:paraId="52DEDE9A" w14:textId="35637D49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CF6661" w:rsidRPr="0009686B">
              <w:rPr>
                <w:sz w:val="21"/>
                <w:szCs w:val="21"/>
                <w:u w:val="single"/>
              </w:rPr>
              <w:t>.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14861C92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Pr="0009686B">
              <w:rPr>
                <w:sz w:val="21"/>
                <w:szCs w:val="21"/>
              </w:rPr>
              <w:t>.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023997C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Pr="0009686B">
              <w:rPr>
                <w:sz w:val="21"/>
                <w:szCs w:val="21"/>
              </w:rPr>
              <w:t>.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3" w:name="_heading=h.gjdgxs" w:colFirst="0" w:colLast="0"/>
      <w:bookmarkEnd w:id="3"/>
      <w:r w:rsidRPr="0009686B">
        <w:rPr>
          <w:b/>
          <w:sz w:val="21"/>
          <w:szCs w:val="21"/>
        </w:rPr>
        <w:t xml:space="preserve">Uwaga: Student powinien zrealizować na I roku w sumie 30 godz. e-learningowych wykładów historycznych oraz 60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4DC7E513" w14:textId="6AF331B8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9575C" w:rsidRPr="0009686B">
              <w:rPr>
                <w:bCs/>
                <w:sz w:val="21"/>
                <w:szCs w:val="21"/>
              </w:rPr>
              <w:t>.</w:t>
            </w:r>
            <w:r w:rsidR="008F50E1">
              <w:rPr>
                <w:bCs/>
                <w:sz w:val="21"/>
                <w:szCs w:val="21"/>
              </w:rPr>
              <w:t xml:space="preserve"> </w:t>
            </w: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18DFA5EA" w:rsidR="008B2818" w:rsidRPr="00B251B1" w:rsidRDefault="008B2818" w:rsidP="00B251B1">
            <w:pPr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Pr="0009686B">
              <w:rPr>
                <w:sz w:val="21"/>
                <w:szCs w:val="21"/>
                <w:u w:val="single"/>
              </w:rPr>
              <w:t>.</w:t>
            </w:r>
            <w:r w:rsidR="00B251B1">
              <w:rPr>
                <w:sz w:val="21"/>
                <w:szCs w:val="21"/>
                <w:u w:val="single"/>
              </w:rPr>
              <w:t xml:space="preserve">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537696A6" w:rsidR="006665E4" w:rsidRPr="0009686B" w:rsidRDefault="006665E4" w:rsidP="00B251B1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w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Pr="00125789">
              <w:rPr>
                <w:bCs/>
                <w:sz w:val="21"/>
                <w:szCs w:val="21"/>
                <w:u w:val="single"/>
              </w:rPr>
              <w:t>.</w:t>
            </w:r>
            <w:r w:rsidR="00B251B1">
              <w:rPr>
                <w:bCs/>
                <w:sz w:val="21"/>
                <w:szCs w:val="21"/>
                <w:u w:val="single"/>
              </w:rPr>
              <w:t xml:space="preserve"> </w:t>
            </w: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5404CD47" w14:textId="33CD56F6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="00D70DBA" w:rsidRPr="0009686B">
              <w:rPr>
                <w:b/>
                <w:sz w:val="21"/>
                <w:szCs w:val="21"/>
              </w:rPr>
              <w:t>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</w:t>
            </w:r>
            <w:r w:rsidR="008B2818" w:rsidRPr="0009686B">
              <w:rPr>
                <w:sz w:val="21"/>
                <w:szCs w:val="21"/>
              </w:rPr>
              <w:t xml:space="preserve">(16h) </w:t>
            </w:r>
            <w:r w:rsidRPr="0009686B">
              <w:rPr>
                <w:sz w:val="21"/>
                <w:szCs w:val="21"/>
              </w:rPr>
              <w:t>– prof. Jolanta Choińska-Mika</w:t>
            </w:r>
          </w:p>
          <w:p w14:paraId="0DB23797" w14:textId="7E0C04B8" w:rsidR="00B708A3" w:rsidRPr="00B51942" w:rsidRDefault="00FB662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 w:rsidR="00B708A3" w:rsidRPr="0009686B">
              <w:rPr>
                <w:sz w:val="21"/>
                <w:szCs w:val="21"/>
                <w:u w:val="single"/>
              </w:rPr>
              <w:t>Jedne zajęcia synchroniczne – wymagana obecność (</w:t>
            </w:r>
            <w:r w:rsidR="00B708A3"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="00B51942" w:rsidRPr="00B251B1">
              <w:rPr>
                <w:b/>
                <w:bCs/>
                <w:sz w:val="21"/>
                <w:szCs w:val="21"/>
                <w:u w:val="single"/>
              </w:rPr>
              <w:t>maj 2025</w:t>
            </w:r>
            <w:r w:rsidR="002B3819">
              <w:rPr>
                <w:sz w:val="21"/>
                <w:szCs w:val="21"/>
                <w:u w:val="single"/>
              </w:rPr>
              <w:t>.</w:t>
            </w:r>
            <w:r w:rsidR="00B251B1"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67535FC3" w14:textId="4A6661AC" w:rsidR="00D751FE" w:rsidRPr="00B51942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="00D70DBA" w:rsidRPr="00B51942">
              <w:rPr>
                <w:sz w:val="21"/>
                <w:szCs w:val="21"/>
              </w:rPr>
              <w:t xml:space="preserve">: </w:t>
            </w:r>
            <w:r w:rsidR="00D70DBA" w:rsidRPr="00B51942">
              <w:rPr>
                <w:b/>
                <w:bCs/>
                <w:sz w:val="21"/>
                <w:szCs w:val="21"/>
              </w:rPr>
              <w:t>Historia</w:t>
            </w:r>
            <w:r w:rsidRPr="00B51942">
              <w:rPr>
                <w:b/>
                <w:bCs/>
                <w:sz w:val="21"/>
                <w:szCs w:val="21"/>
              </w:rPr>
              <w:t xml:space="preserve"> XX w.</w:t>
            </w:r>
            <w:r w:rsidRPr="00B51942">
              <w:rPr>
                <w:sz w:val="21"/>
                <w:szCs w:val="21"/>
              </w:rPr>
              <w:t xml:space="preserve"> </w:t>
            </w:r>
            <w:r w:rsidR="008B2818" w:rsidRPr="00B51942">
              <w:rPr>
                <w:sz w:val="21"/>
                <w:szCs w:val="21"/>
              </w:rPr>
              <w:t xml:space="preserve">(16h) </w:t>
            </w:r>
            <w:r w:rsidRPr="00B51942">
              <w:rPr>
                <w:sz w:val="21"/>
                <w:szCs w:val="21"/>
              </w:rPr>
              <w:t xml:space="preserve">– prof. </w:t>
            </w:r>
            <w:r w:rsidR="00B51942" w:rsidRPr="00B51942">
              <w:rPr>
                <w:sz w:val="21"/>
                <w:szCs w:val="21"/>
              </w:rPr>
              <w:t>Piotr Majewski</w:t>
            </w:r>
          </w:p>
          <w:p w14:paraId="1AD04084" w14:textId="0F2301CA" w:rsidR="00D751FE" w:rsidRPr="0009686B" w:rsidRDefault="00FB6627" w:rsidP="00B251B1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</w:t>
            </w:r>
            <w:r w:rsidR="00B708A3" w:rsidRPr="00B51942">
              <w:rPr>
                <w:sz w:val="21"/>
                <w:szCs w:val="21"/>
                <w:u w:val="single"/>
              </w:rPr>
              <w:t xml:space="preserve">Jedne zajęcia synchroniczne – wymagana obecność (zaliczenie): </w:t>
            </w:r>
            <w:r w:rsidR="00B51942" w:rsidRPr="00B251B1">
              <w:rPr>
                <w:b/>
                <w:bCs/>
                <w:sz w:val="21"/>
                <w:szCs w:val="21"/>
                <w:u w:val="single"/>
              </w:rPr>
              <w:t>maj 2025</w:t>
            </w:r>
            <w:r w:rsidR="002B3819">
              <w:rPr>
                <w:sz w:val="21"/>
                <w:szCs w:val="21"/>
                <w:u w:val="single"/>
              </w:rPr>
              <w:t>.</w:t>
            </w:r>
            <w:r w:rsidR="00B251B1">
              <w:rPr>
                <w:sz w:val="21"/>
                <w:szCs w:val="21"/>
                <w:u w:val="single"/>
              </w:rPr>
              <w:t xml:space="preserve">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4" w:name="_heading=h.1fob9te" w:colFirst="0" w:colLast="0"/>
      <w:bookmarkEnd w:id="4"/>
      <w:r w:rsidRPr="0009686B">
        <w:rPr>
          <w:b/>
          <w:sz w:val="21"/>
          <w:szCs w:val="21"/>
        </w:rPr>
        <w:lastRenderedPageBreak/>
        <w:t xml:space="preserve">Uwaga: Student powinien zrealizować na II roku w sumie 30 godzin e-learningowych wykładów historycznych oraz 45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5" w:name="_heading=h.3znysh7" w:colFirst="0" w:colLast="0"/>
      <w:bookmarkEnd w:id="5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6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6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FE"/>
    <w:rsid w:val="00012BB1"/>
    <w:rsid w:val="00020388"/>
    <w:rsid w:val="00041827"/>
    <w:rsid w:val="00057F95"/>
    <w:rsid w:val="00060D85"/>
    <w:rsid w:val="00060F88"/>
    <w:rsid w:val="00075AF8"/>
    <w:rsid w:val="0009686B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203569"/>
    <w:rsid w:val="0022462F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D0FE9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B6A27"/>
    <w:rsid w:val="006D0570"/>
    <w:rsid w:val="006D403A"/>
    <w:rsid w:val="006E79F7"/>
    <w:rsid w:val="00722483"/>
    <w:rsid w:val="007245CC"/>
    <w:rsid w:val="007722FB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44169"/>
    <w:rsid w:val="00C447D0"/>
    <w:rsid w:val="00C5026D"/>
    <w:rsid w:val="00C57FA3"/>
    <w:rsid w:val="00C57FA5"/>
    <w:rsid w:val="00C777D6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74D8A"/>
    <w:rsid w:val="00F96A2B"/>
    <w:rsid w:val="00FB6627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Katarzyna Wagner</cp:lastModifiedBy>
  <cp:revision>137</cp:revision>
  <dcterms:created xsi:type="dcterms:W3CDTF">2024-04-06T18:40:00Z</dcterms:created>
  <dcterms:modified xsi:type="dcterms:W3CDTF">2025-01-09T10:23:00Z</dcterms:modified>
</cp:coreProperties>
</file>